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98" w:lineRule="auto"/>
        <w:ind w:left="3146" w:right="2331"/>
      </w:pPr>
      <w:r>
        <w:rPr/>
        <w:t>IU</w:t>
      </w:r>
      <w:r>
        <w:rPr>
          <w:spacing w:val="-10"/>
        </w:rPr>
        <w:t> </w:t>
      </w:r>
      <w:r>
        <w:rPr/>
        <w:t>Bloomington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 Policy on Centers and Institutes</w:t>
      </w:r>
    </w:p>
    <w:p>
      <w:pPr>
        <w:pStyle w:val="BodyText"/>
        <w:spacing w:line="272" w:lineRule="exact"/>
        <w:ind w:left="6269" w:firstLine="0"/>
      </w:pPr>
      <w:r>
        <w:rPr/>
        <w:t>This policy</w:t>
      </w:r>
      <w:r>
        <w:rPr>
          <w:spacing w:val="-5"/>
        </w:rPr>
        <w:t> </w:t>
      </w:r>
      <w:r>
        <w:rPr/>
        <w:t>replaces policy</w:t>
      </w:r>
      <w:r>
        <w:rPr>
          <w:spacing w:val="-4"/>
        </w:rPr>
        <w:t> </w:t>
      </w:r>
      <w:r>
        <w:rPr>
          <w:spacing w:val="-2"/>
        </w:rPr>
        <w:t>80.29</w:t>
      </w:r>
    </w:p>
    <w:p>
      <w:pPr>
        <w:pStyle w:val="BodyText"/>
        <w:spacing w:line="259" w:lineRule="auto" w:before="180"/>
        <w:ind w:left="100" w:right="116" w:firstLine="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centers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institutes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suggest</w:t>
      </w:r>
      <w:r>
        <w:rPr>
          <w:spacing w:val="-3"/>
        </w:rPr>
        <w:t> </w:t>
      </w:r>
      <w:r>
        <w:rPr/>
        <w:t>promise</w:t>
      </w:r>
      <w:r>
        <w:rPr>
          <w:spacing w:val="-4"/>
        </w:rPr>
        <w:t> </w:t>
      </w:r>
      <w:r>
        <w:rPr/>
        <w:t>of helping the School to meet its research, service and/or teaching missions be established as the needs for such centers or institutes arise. The centers or institutes should be cross-departmental and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Associate</w:t>
      </w:r>
      <w:r>
        <w:rPr>
          <w:spacing w:val="-3"/>
        </w:rPr>
        <w:t> </w:t>
      </w: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Education.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 addition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University</w:t>
      </w:r>
      <w:r>
        <w:rPr>
          <w:spacing w:val="-7"/>
        </w:rPr>
        <w:t> </w:t>
      </w:r>
      <w:r>
        <w:rPr/>
        <w:t>Policy</w:t>
      </w:r>
      <w:r>
        <w:rPr>
          <w:spacing w:val="-7"/>
        </w:rPr>
        <w:t> </w:t>
      </w:r>
      <w:r>
        <w:rPr/>
        <w:t>RP-11-002</w:t>
      </w:r>
      <w:r>
        <w:rPr>
          <w:spacing w:val="-2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Centers</w:t>
      </w:r>
      <w:r>
        <w:rPr>
          <w:spacing w:val="-2"/>
        </w:rPr>
        <w:t> </w:t>
      </w:r>
      <w:r>
        <w:rPr/>
        <w:t>and Institutes</w:t>
      </w:r>
      <w:r>
        <w:rPr>
          <w:spacing w:val="-13"/>
        </w:rPr>
        <w:t> </w:t>
      </w:r>
      <w:r>
        <w:rPr/>
        <w:t>(</w:t>
      </w:r>
      <w:hyperlink r:id="rId6">
        <w:r>
          <w:rPr>
            <w:color w:val="0462C1"/>
            <w:u w:val="single" w:color="0462C1"/>
          </w:rPr>
          <w:t>https://policies.iu.edu/policies/rp-11-002-establishment-centers-</w:t>
        </w:r>
        <w:r>
          <w:rPr>
            <w:color w:val="0462C1"/>
            <w:spacing w:val="-2"/>
            <w:u w:val="single" w:color="0462C1"/>
          </w:rPr>
          <w:t>institutes/index.html</w:t>
        </w:r>
      </w:hyperlink>
      <w:r>
        <w:rPr>
          <w:spacing w:val="-2"/>
        </w:rPr>
        <w:t>).</w:t>
      </w:r>
    </w:p>
    <w:p>
      <w:pPr>
        <w:pStyle w:val="BodyText"/>
        <w:spacing w:line="259" w:lineRule="auto" w:before="160"/>
        <w:ind w:left="100" w:right="116" w:firstLine="0"/>
      </w:pPr>
      <w:r>
        <w:rPr/>
        <w:t>In accordance with IU policy the director of the center/institute should be </w:t>
      </w:r>
      <w:r>
        <w:rPr>
          <w:color w:val="45382B"/>
        </w:rPr>
        <w:t>a senior faculty member</w:t>
      </w:r>
      <w:r>
        <w:rPr>
          <w:color w:val="45382B"/>
          <w:spacing w:val="-3"/>
        </w:rPr>
        <w:t> </w:t>
      </w:r>
      <w:r>
        <w:rPr>
          <w:color w:val="45382B"/>
        </w:rPr>
        <w:t>of</w:t>
      </w:r>
      <w:r>
        <w:rPr>
          <w:color w:val="45382B"/>
          <w:spacing w:val="-5"/>
        </w:rPr>
        <w:t> </w:t>
      </w:r>
      <w:r>
        <w:rPr>
          <w:color w:val="45382B"/>
        </w:rPr>
        <w:t>academic</w:t>
      </w:r>
      <w:r>
        <w:rPr>
          <w:color w:val="45382B"/>
          <w:spacing w:val="-4"/>
        </w:rPr>
        <w:t> </w:t>
      </w:r>
      <w:r>
        <w:rPr>
          <w:color w:val="45382B"/>
        </w:rPr>
        <w:t>standing,</w:t>
      </w:r>
      <w:r>
        <w:rPr>
          <w:color w:val="45382B"/>
          <w:spacing w:val="-3"/>
        </w:rPr>
        <w:t> </w:t>
      </w:r>
      <w:r>
        <w:rPr>
          <w:color w:val="45382B"/>
        </w:rPr>
        <w:t>who</w:t>
      </w:r>
      <w:r>
        <w:rPr>
          <w:color w:val="45382B"/>
          <w:spacing w:val="-3"/>
        </w:rPr>
        <w:t> </w:t>
      </w:r>
      <w:r>
        <w:rPr>
          <w:color w:val="45382B"/>
        </w:rPr>
        <w:t>has</w:t>
      </w:r>
      <w:r>
        <w:rPr>
          <w:color w:val="45382B"/>
          <w:spacing w:val="-3"/>
        </w:rPr>
        <w:t> </w:t>
      </w:r>
      <w:r>
        <w:rPr>
          <w:color w:val="45382B"/>
        </w:rPr>
        <w:t>demonstrated</w:t>
      </w:r>
      <w:r>
        <w:rPr>
          <w:color w:val="45382B"/>
          <w:spacing w:val="-3"/>
        </w:rPr>
        <w:t> </w:t>
      </w:r>
      <w:r>
        <w:rPr>
          <w:color w:val="45382B"/>
        </w:rPr>
        <w:t>administrative</w:t>
      </w:r>
      <w:r>
        <w:rPr>
          <w:color w:val="45382B"/>
          <w:spacing w:val="-4"/>
        </w:rPr>
        <w:t> </w:t>
      </w:r>
      <w:r>
        <w:rPr>
          <w:color w:val="45382B"/>
        </w:rPr>
        <w:t>skills</w:t>
      </w:r>
      <w:r>
        <w:rPr>
          <w:color w:val="45382B"/>
          <w:spacing w:val="-3"/>
        </w:rPr>
        <w:t> </w:t>
      </w:r>
      <w:r>
        <w:rPr>
          <w:color w:val="45382B"/>
        </w:rPr>
        <w:t>and</w:t>
      </w:r>
      <w:r>
        <w:rPr>
          <w:color w:val="45382B"/>
          <w:spacing w:val="-3"/>
        </w:rPr>
        <w:t> </w:t>
      </w:r>
      <w:r>
        <w:rPr>
          <w:color w:val="45382B"/>
        </w:rPr>
        <w:t>the</w:t>
      </w:r>
      <w:r>
        <w:rPr>
          <w:color w:val="45382B"/>
          <w:spacing w:val="-3"/>
        </w:rPr>
        <w:t> </w:t>
      </w:r>
      <w:r>
        <w:rPr>
          <w:color w:val="45382B"/>
        </w:rPr>
        <w:t>ability</w:t>
      </w:r>
      <w:r>
        <w:rPr>
          <w:color w:val="45382B"/>
          <w:spacing w:val="-8"/>
        </w:rPr>
        <w:t> </w:t>
      </w:r>
      <w:r>
        <w:rPr>
          <w:color w:val="45382B"/>
        </w:rPr>
        <w:t>to</w:t>
      </w:r>
      <w:r>
        <w:rPr>
          <w:color w:val="45382B"/>
          <w:spacing w:val="-3"/>
        </w:rPr>
        <w:t> </w:t>
      </w:r>
      <w:r>
        <w:rPr>
          <w:color w:val="45382B"/>
        </w:rPr>
        <w:t>raise external funding where that is appropriate. IU policy also requires that </w:t>
      </w:r>
      <w:r>
        <w:rPr/>
        <w:t>all SOE centers have the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59" w:after="0"/>
        <w:ind w:left="820" w:right="254" w:hanging="360"/>
        <w:jc w:val="left"/>
        <w:rPr>
          <w:sz w:val="24"/>
        </w:rPr>
      </w:pPr>
      <w:r>
        <w:rPr>
          <w:color w:val="45382B"/>
          <w:sz w:val="24"/>
        </w:rPr>
        <w:t>An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up-to-date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plan</w:t>
      </w:r>
      <w:r>
        <w:rPr>
          <w:color w:val="45382B"/>
          <w:spacing w:val="-1"/>
          <w:sz w:val="24"/>
        </w:rPr>
        <w:t> </w:t>
      </w:r>
      <w:r>
        <w:rPr>
          <w:color w:val="45382B"/>
          <w:sz w:val="24"/>
        </w:rPr>
        <w:t>for</w:t>
      </w:r>
      <w:r>
        <w:rPr>
          <w:color w:val="45382B"/>
          <w:spacing w:val="-5"/>
          <w:sz w:val="24"/>
        </w:rPr>
        <w:t> </w:t>
      </w:r>
      <w:r>
        <w:rPr>
          <w:color w:val="45382B"/>
          <w:sz w:val="24"/>
        </w:rPr>
        <w:t>research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or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creative</w:t>
      </w:r>
      <w:r>
        <w:rPr>
          <w:color w:val="45382B"/>
          <w:spacing w:val="-2"/>
          <w:sz w:val="24"/>
        </w:rPr>
        <w:t> </w:t>
      </w:r>
      <w:r>
        <w:rPr>
          <w:color w:val="45382B"/>
          <w:sz w:val="24"/>
        </w:rPr>
        <w:t>activity</w:t>
      </w:r>
      <w:r>
        <w:rPr>
          <w:color w:val="45382B"/>
          <w:spacing w:val="-6"/>
          <w:sz w:val="24"/>
        </w:rPr>
        <w:t> </w:t>
      </w:r>
      <w:r>
        <w:rPr>
          <w:color w:val="45382B"/>
          <w:sz w:val="24"/>
        </w:rPr>
        <w:t>and</w:t>
      </w:r>
      <w:r>
        <w:rPr>
          <w:color w:val="45382B"/>
          <w:spacing w:val="-1"/>
          <w:sz w:val="24"/>
        </w:rPr>
        <w:t> </w:t>
      </w:r>
      <w:r>
        <w:rPr>
          <w:color w:val="45382B"/>
          <w:sz w:val="24"/>
        </w:rPr>
        <w:t>a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mission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statement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aligned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with the SOE mission statement.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color w:val="45382B"/>
          <w:sz w:val="24"/>
        </w:rPr>
        <w:t>A</w:t>
      </w:r>
      <w:r>
        <w:rPr>
          <w:color w:val="45382B"/>
          <w:spacing w:val="-2"/>
          <w:sz w:val="24"/>
        </w:rPr>
        <w:t> </w:t>
      </w:r>
      <w:r>
        <w:rPr>
          <w:color w:val="45382B"/>
          <w:sz w:val="24"/>
        </w:rPr>
        <w:t>financial plan</w:t>
      </w:r>
      <w:r>
        <w:rPr>
          <w:color w:val="45382B"/>
          <w:spacing w:val="1"/>
          <w:sz w:val="24"/>
        </w:rPr>
        <w:t> </w:t>
      </w:r>
      <w:r>
        <w:rPr>
          <w:color w:val="45382B"/>
          <w:sz w:val="24"/>
        </w:rPr>
        <w:t>addressing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issues of immediate and long-term </w:t>
      </w:r>
      <w:r>
        <w:rPr>
          <w:color w:val="45382B"/>
          <w:spacing w:val="-2"/>
          <w:sz w:val="24"/>
        </w:rPr>
        <w:t>sustainability.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21" w:after="0"/>
        <w:ind w:left="820" w:right="727" w:hanging="360"/>
        <w:jc w:val="left"/>
        <w:rPr>
          <w:sz w:val="24"/>
        </w:rPr>
      </w:pPr>
      <w:r>
        <w:rPr>
          <w:color w:val="45382B"/>
          <w:sz w:val="24"/>
        </w:rPr>
        <w:t>An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organizational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structure</w:t>
      </w:r>
      <w:r>
        <w:rPr>
          <w:color w:val="45382B"/>
          <w:spacing w:val="-6"/>
          <w:sz w:val="24"/>
        </w:rPr>
        <w:t> </w:t>
      </w:r>
      <w:r>
        <w:rPr>
          <w:color w:val="45382B"/>
          <w:sz w:val="24"/>
        </w:rPr>
        <w:t>that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includes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an</w:t>
      </w:r>
      <w:r>
        <w:rPr>
          <w:color w:val="45382B"/>
          <w:spacing w:val="-2"/>
          <w:sz w:val="24"/>
        </w:rPr>
        <w:t> </w:t>
      </w:r>
      <w:r>
        <w:rPr>
          <w:color w:val="45382B"/>
          <w:sz w:val="24"/>
        </w:rPr>
        <w:t>advisory</w:t>
      </w:r>
      <w:r>
        <w:rPr>
          <w:color w:val="45382B"/>
          <w:spacing w:val="-9"/>
          <w:sz w:val="24"/>
        </w:rPr>
        <w:t> </w:t>
      </w:r>
      <w:r>
        <w:rPr>
          <w:color w:val="45382B"/>
          <w:sz w:val="24"/>
        </w:rPr>
        <w:t>board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whose</w:t>
      </w:r>
      <w:r>
        <w:rPr>
          <w:color w:val="45382B"/>
          <w:spacing w:val="-5"/>
          <w:sz w:val="24"/>
        </w:rPr>
        <w:t> </w:t>
      </w:r>
      <w:r>
        <w:rPr>
          <w:color w:val="45382B"/>
          <w:sz w:val="24"/>
        </w:rPr>
        <w:t>members</w:t>
      </w:r>
      <w:r>
        <w:rPr>
          <w:color w:val="45382B"/>
          <w:spacing w:val="-3"/>
          <w:sz w:val="24"/>
        </w:rPr>
        <w:t> </w:t>
      </w:r>
      <w:r>
        <w:rPr>
          <w:color w:val="45382B"/>
          <w:sz w:val="24"/>
        </w:rPr>
        <w:t>are</w:t>
      </w:r>
      <w:r>
        <w:rPr>
          <w:color w:val="45382B"/>
          <w:spacing w:val="-6"/>
          <w:sz w:val="24"/>
        </w:rPr>
        <w:t> </w:t>
      </w:r>
      <w:r>
        <w:rPr>
          <w:color w:val="45382B"/>
          <w:sz w:val="24"/>
        </w:rPr>
        <w:t>not affiliated with the center.</w:t>
      </w:r>
    </w:p>
    <w:p>
      <w:pPr>
        <w:pStyle w:val="BodyText"/>
        <w:spacing w:line="259" w:lineRule="auto" w:before="163"/>
        <w:ind w:left="100" w:right="64" w:firstLine="0"/>
      </w:pP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centers/institutes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 the following: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60" w:after="0"/>
        <w:ind w:left="820" w:right="20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center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name,</w:t>
      </w:r>
      <w:r>
        <w:rPr>
          <w:spacing w:val="-3"/>
          <w:sz w:val="24"/>
        </w:rPr>
        <w:t> </w:t>
      </w:r>
      <w:r>
        <w:rPr>
          <w:sz w:val="24"/>
        </w:rPr>
        <w:t>mission</w:t>
      </w:r>
      <w:r>
        <w:rPr>
          <w:spacing w:val="-3"/>
          <w:sz w:val="24"/>
        </w:rPr>
        <w:t> </w:t>
      </w:r>
      <w:r>
        <w:rPr>
          <w:sz w:val="24"/>
        </w:rPr>
        <w:t>statement,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activities that align with the School of Education.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" w:after="0"/>
        <w:ind w:left="820" w:right="39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unique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respond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research/development area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be satisfied by faculty working alone or by existing departments.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0" w:after="0"/>
        <w:ind w:left="820" w:right="113" w:hanging="360"/>
        <w:jc w:val="left"/>
        <w:rPr>
          <w:sz w:val="24"/>
        </w:rPr>
      </w:pPr>
      <w:r>
        <w:rPr>
          <w:sz w:val="24"/>
        </w:rPr>
        <w:t>It primarily focuses on research or research and development. Although service may be included in its mission, research must be the center’s or institute’s primary focus and account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majority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work.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credits</w:t>
      </w:r>
      <w:r>
        <w:rPr>
          <w:spacing w:val="-1"/>
          <w:sz w:val="24"/>
        </w:rPr>
        <w:t> </w:t>
      </w:r>
      <w:r>
        <w:rPr>
          <w:sz w:val="24"/>
        </w:rPr>
        <w:t>as that is the responsibility of departments.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0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multidisciplinary</w:t>
      </w:r>
      <w:r>
        <w:rPr>
          <w:spacing w:val="-5"/>
          <w:sz w:val="24"/>
        </w:rPr>
        <w:t> </w:t>
      </w:r>
      <w:r>
        <w:rPr>
          <w:sz w:val="24"/>
        </w:rPr>
        <w:t>in its </w:t>
      </w:r>
      <w:r>
        <w:rPr>
          <w:spacing w:val="-2"/>
          <w:sz w:val="24"/>
        </w:rPr>
        <w:t>approach.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reserves.</w:t>
      </w:r>
    </w:p>
    <w:p>
      <w:pPr>
        <w:pStyle w:val="BodyText"/>
        <w:spacing w:line="259" w:lineRule="auto" w:before="182"/>
        <w:ind w:left="100" w:firstLine="0"/>
      </w:pPr>
      <w:r>
        <w:rPr/>
        <w:t>When faculty</w:t>
      </w:r>
      <w:r>
        <w:rPr>
          <w:spacing w:val="-3"/>
        </w:rPr>
        <w:t> </w:t>
      </w:r>
      <w:r>
        <w:rPr/>
        <w:t>have determined that there is a need for a center or institute, a proposal addressing the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criteria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Associate</w:t>
      </w:r>
      <w:r>
        <w:rPr>
          <w:spacing w:val="-2"/>
        </w:rPr>
        <w:t> </w:t>
      </w: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to present to the Research, Development, and External Partnerships Committee. The Research, Development, and External Partnerships Committees makes a recommendation to the School of Education Policy Council, which ultimately approves the proposal.</w:t>
      </w:r>
    </w:p>
    <w:p>
      <w:pPr>
        <w:spacing w:after="0" w:line="259" w:lineRule="auto"/>
        <w:sectPr>
          <w:headerReference w:type="default" r:id="rId5"/>
          <w:type w:val="continuous"/>
          <w:pgSz w:w="12240" w:h="15840"/>
          <w:pgMar w:header="763" w:footer="0" w:top="1340" w:bottom="280" w:left="1340" w:right="1340"/>
          <w:pgNumType w:start="1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19"/>
        </w:rPr>
      </w:pPr>
    </w:p>
    <w:p>
      <w:pPr>
        <w:pStyle w:val="Heading1"/>
        <w:spacing w:before="90"/>
        <w:ind w:firstLine="0"/>
      </w:pPr>
      <w:r>
        <w:rPr/>
        <w:t>Additional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Implementation</w:t>
      </w:r>
    </w:p>
    <w:p>
      <w:pPr>
        <w:pStyle w:val="BodyText"/>
        <w:spacing w:line="259" w:lineRule="auto" w:before="177"/>
        <w:ind w:left="100" w:right="116" w:firstLine="0"/>
      </w:pPr>
      <w:r>
        <w:rPr/>
        <w:t>Specific procedures for implementing this policy should be established by the Dean’s Office. These</w:t>
      </w:r>
      <w:r>
        <w:rPr>
          <w:spacing w:val="-4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flexible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unique</w:t>
      </w:r>
      <w:r>
        <w:rPr>
          <w:spacing w:val="-2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center or institute. However, the following policy statements should guide the development of these administrative guidelines.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59" w:after="0"/>
        <w:ind w:left="820" w:right="15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center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established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limited period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time.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renewed after this period, but each renewal should be for a limited period of time.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2" w:after="0"/>
        <w:ind w:left="820" w:right="612" w:hanging="360"/>
        <w:jc w:val="left"/>
        <w:rPr>
          <w:sz w:val="24"/>
        </w:rPr>
      </w:pPr>
      <w:r>
        <w:rPr>
          <w:sz w:val="24"/>
        </w:rPr>
        <w:t>In accordance with IU policy</w:t>
      </w:r>
      <w:r>
        <w:rPr>
          <w:spacing w:val="-2"/>
          <w:sz w:val="24"/>
        </w:rPr>
        <w:t> </w:t>
      </w:r>
      <w:r>
        <w:rPr>
          <w:sz w:val="24"/>
        </w:rPr>
        <w:t>each center or institute will have </w:t>
      </w:r>
      <w:r>
        <w:rPr>
          <w:color w:val="45382B"/>
          <w:sz w:val="24"/>
        </w:rPr>
        <w:t>criteria and plans for periodic</w:t>
      </w:r>
      <w:r>
        <w:rPr>
          <w:color w:val="45382B"/>
          <w:spacing w:val="-5"/>
          <w:sz w:val="24"/>
        </w:rPr>
        <w:t> </w:t>
      </w:r>
      <w:r>
        <w:rPr>
          <w:color w:val="45382B"/>
          <w:sz w:val="24"/>
        </w:rPr>
        <w:t>review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and</w:t>
      </w:r>
      <w:r>
        <w:rPr>
          <w:color w:val="45382B"/>
          <w:spacing w:val="-2"/>
          <w:sz w:val="24"/>
        </w:rPr>
        <w:t> </w:t>
      </w:r>
      <w:r>
        <w:rPr>
          <w:color w:val="45382B"/>
          <w:sz w:val="24"/>
        </w:rPr>
        <w:t>assessment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(adhering</w:t>
      </w:r>
      <w:r>
        <w:rPr>
          <w:color w:val="45382B"/>
          <w:spacing w:val="-7"/>
          <w:sz w:val="24"/>
        </w:rPr>
        <w:t> </w:t>
      </w:r>
      <w:r>
        <w:rPr>
          <w:color w:val="45382B"/>
          <w:sz w:val="24"/>
        </w:rPr>
        <w:t>to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the</w:t>
      </w:r>
      <w:r>
        <w:rPr>
          <w:color w:val="45382B"/>
          <w:spacing w:val="-5"/>
          <w:sz w:val="24"/>
        </w:rPr>
        <w:t> </w:t>
      </w:r>
      <w:r>
        <w:rPr>
          <w:color w:val="45382B"/>
          <w:sz w:val="24"/>
        </w:rPr>
        <w:t>School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of</w:t>
      </w:r>
      <w:r>
        <w:rPr>
          <w:color w:val="45382B"/>
          <w:spacing w:val="-1"/>
          <w:sz w:val="24"/>
        </w:rPr>
        <w:t> </w:t>
      </w:r>
      <w:r>
        <w:rPr>
          <w:color w:val="45382B"/>
          <w:sz w:val="24"/>
        </w:rPr>
        <w:t>Education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Center</w:t>
      </w:r>
      <w:r>
        <w:rPr>
          <w:color w:val="45382B"/>
          <w:spacing w:val="-4"/>
          <w:sz w:val="24"/>
        </w:rPr>
        <w:t> </w:t>
      </w:r>
      <w:r>
        <w:rPr>
          <w:color w:val="45382B"/>
          <w:sz w:val="24"/>
        </w:rPr>
        <w:t>Review Policy) of the contributions of the center to the school and the university.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54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discussing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centers</w:t>
      </w:r>
      <w:r>
        <w:rPr>
          <w:spacing w:val="-4"/>
          <w:sz w:val="24"/>
        </w:rPr>
        <w:t> </w:t>
      </w:r>
      <w:r>
        <w:rPr>
          <w:sz w:val="24"/>
        </w:rPr>
        <w:t>research,</w:t>
      </w:r>
      <w:r>
        <w:rPr>
          <w:spacing w:val="-4"/>
          <w:sz w:val="24"/>
        </w:rPr>
        <w:t> </w:t>
      </w:r>
      <w:r>
        <w:rPr>
          <w:sz w:val="24"/>
        </w:rPr>
        <w:t>creative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overall financial health should be disseminated to the entire faculty every year.</w:t>
      </w:r>
    </w:p>
    <w:sectPr>
      <w:pgSz w:w="12240" w:h="15840"/>
      <w:pgMar w:header="763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6526530</wp:posOffset>
              </wp:positionH>
              <wp:positionV relativeFrom="page">
                <wp:posOffset>471931</wp:posOffset>
              </wp:positionV>
              <wp:extent cx="3467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6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2"/>
                            </w:rPr>
                            <w:t>20.16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900024pt;margin-top:37.160pt;width:27.3pt;height:13.05pt;mso-position-horizontal-relative:page;mso-position-vertical-relative:page;z-index:-157588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20.16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0" w:hanging="2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policies.iu.edu/policies/rp-11-002-establishment-centers-institutes/index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Rutkowski, David Joseph</dc:creator>
  <dcterms:created xsi:type="dcterms:W3CDTF">2023-11-30T18:44:52Z</dcterms:created>
  <dcterms:modified xsi:type="dcterms:W3CDTF">2023-11-30T18:44:52Z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2016</vt:lpwstr>
  </property>
</Properties>
</file>